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rFonts w:cs="David"/>
          <w:b/>
          <w:bCs/>
          <w:sz w:val="20"/>
          <w:szCs w:val="20"/>
        </w:rPr>
      </w:pPr>
      <w:r w:rsidRPr="00E635A2">
        <w:rPr>
          <w:rFonts w:hint="cs" w:cs="David"/>
          <w:sz w:val="20"/>
          <w:szCs w:val="20"/>
          <w:rtl/>
        </w:rPr>
        <w:t xml:space="preserve">מספר פנימי: </w:t>
      </w:r>
      <w:bookmarkStart w:name="LGS_Internal_ID" w:id="0"/>
      <w:r>
        <w:rPr>
          <w:rFonts w:hint="cs" w:cs="David"/>
          <w:sz w:val="20"/>
          <w:szCs w:val="20"/>
          <w:rtl/>
        </w:rPr>
        <w:t>2197493</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rFonts w:cs="David"/>
          <w:b/>
          <w:bCs/>
          <w:sz w:val="26"/>
          <w:szCs w:val="26"/>
          <w:rtl/>
        </w:rPr>
      </w:pPr>
    </w:p>
    <w:p w:rsidR="00E13C27" w:rsidP="00930EFE" w:rsidRDefault="008F6665" w14:paraId="7F6961A6" w14:textId="77777777">
      <w:pPr>
        <w:pStyle w:val="David"/>
        <w:spacing w:line="360" w:lineRule="auto"/>
        <w:ind w:left="3544"/>
        <w:rPr>
          <w:b/>
          <w:bCs/>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עאידה תומא סלימאן</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אחמד טיבי</w:t>
      </w:r>
      <w:bookmarkEnd w:id="3"/>
    </w:p>
    <w:p w:rsidRPr="00CF1AA2" w:rsidR="00E13C27" w:rsidP="0036422C" w:rsidRDefault="007D585A" w14:paraId="7F6961AA" w14:textId="39F9D96B">
      <w:pPr>
        <w:pStyle w:val="David"/>
        <w:spacing w:before="0" w:line="360" w:lineRule="auto"/>
        <w:ind w:left="3544"/>
        <w:rPr>
          <w:b/>
          <w:bCs/>
          <w:sz w:val="16"/>
          <w:szCs w:val="16"/>
          <w:rtl/>
        </w:rPr>
      </w:pPr>
      <w:bookmarkStart w:name="LGS_Join_List" w:id="4"/>
      <w:r>
        <w:rPr>
          <w:rtl/>
        </w:rPr>
        <w:t xml:space="preserve"> </w:t>
      </w:r>
      <w:bookmarkEnd w:id="4"/>
      <w:r w:rsidRPr="00CF1AA2" w:rsidR="002200A1">
        <w:rPr>
          <w:rFonts w:hint="cs"/>
          <w:rtl/>
        </w:rPr>
        <w:tab/>
      </w:r>
      <w:bookmarkStart w:name="LGS_PM_NamesJoin" w:id="5"/>
      <w:r>
        <w:rPr>
          <w:rFonts w:hint="cs"/>
          <w:rtl/>
        </w:rPr>
        <w:t xml:space="preserve"> </w:t>
      </w:r>
      <w:bookmarkEnd w:id="5"/>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6"/>
      <w:r>
        <w:rPr>
          <w:rFonts w:hint="cs"/>
          <w:rtl/>
        </w:rPr>
        <w:t>פ/226/25</w:t>
      </w:r>
      <w:bookmarkEnd w:id="6"/>
    </w:p>
    <w:p w:rsidR="00E13C27" w:rsidP="00E13C27" w:rsidRDefault="00E13C27" w14:paraId="7F6961AC" w14:textId="77777777">
      <w:pPr>
        <w:spacing w:before="0" w:line="360" w:lineRule="auto"/>
        <w:ind w:left="2880" w:firstLine="720"/>
        <w:rPr>
          <w:rFonts w:cs="David"/>
          <w:sz w:val="26"/>
          <w:szCs w:val="26"/>
          <w:rtl/>
        </w:rPr>
      </w:pPr>
    </w:p>
    <w:p w:rsidRPr="00F67051" w:rsidR="00E13C27" w:rsidP="0021633A" w:rsidRDefault="00A443CF" w14:paraId="7F6961AD" w14:textId="77777777">
      <w:pPr>
        <w:pStyle w:val="HeadHatzaotHok"/>
        <w:rPr>
          <w:rtl/>
        </w:rPr>
      </w:pPr>
      <w:bookmarkStart w:name="LGS_Subject" w:id="7"/>
      <w:r>
        <w:rPr>
          <w:rFonts w:hint="cs"/>
          <w:rtl/>
        </w:rPr>
        <w:t>הצעת חוק זכויות הדייר בדיור הציבורי (תיקון – זכאות לאם יחידנית המקבלת תשלומי מזונות מהמוסד לביטוח לאומי), ‏התשפ"ג–2022</w:t>
      </w:r>
      <w:bookmarkEnd w:id="7"/>
    </w:p>
    <w:tbl>
      <w:tblPr>
        <w:bidiVisual/>
        <w:tblW w:w="9639" w:type="dxa"/>
        <w:tblLayout w:type="fixed"/>
        <w:tblCellMar>
          <w:top w:w="57" w:type="dxa"/>
          <w:left w:w="0" w:type="dxa"/>
          <w:bottom w:w="57" w:type="dxa"/>
          <w:right w:w="0" w:type="dxa"/>
        </w:tblCellMar>
        <w:tblLook w:val="01E0" w:firstRow="1" w:lastRow="1" w:firstColumn="1" w:lastColumn="1" w:noHBand="0" w:noVBand="0"/>
      </w:tblPr>
      <w:tblGrid>
        <w:gridCol w:w="1872"/>
        <w:gridCol w:w="624"/>
        <w:gridCol w:w="1871"/>
        <w:gridCol w:w="625"/>
        <w:gridCol w:w="4647"/>
      </w:tblGrid>
      <w:tr w:rsidRPr="00C33F7A" w:rsidR="00623F52" w:rsidTr="00D06234" w14:paraId="66A42F58" w14:textId="77777777">
        <w:trPr>
          <w:cantSplit/>
        </w:trPr>
        <w:tc>
          <w:tcPr>
            <w:tcW w:w="1872" w:type="dxa"/>
            <w:hideMark/>
          </w:tcPr>
          <w:p w:rsidRPr="00C33F7A" w:rsidR="00623F52" w:rsidP="00D06234" w:rsidRDefault="00623F52" w14:paraId="4848A857" w14:textId="77777777">
            <w:pPr>
              <w:keepLines/>
              <w:tabs>
                <w:tab w:val="left" w:pos="624"/>
                <w:tab w:val="left" w:pos="1247"/>
              </w:tabs>
              <w:autoSpaceDE/>
              <w:autoSpaceDN/>
              <w:adjustRightInd/>
              <w:snapToGrid w:val="0"/>
              <w:spacing w:before="0" w:line="360" w:lineRule="auto"/>
              <w:ind w:firstLine="0"/>
              <w:contextualSpacing/>
              <w:jc w:val="left"/>
              <w:textAlignment w:val="auto"/>
              <w:rPr>
                <w:rFonts w:ascii="Arial" w:hAnsi="Arial" w:eastAsia="Arial Unicode MS" w:cs="David"/>
                <w:snapToGrid w:val="0"/>
                <w:color w:val="auto"/>
                <w:spacing w:val="0"/>
                <w:sz w:val="20"/>
                <w:szCs w:val="26"/>
                <w:lang w:eastAsia="en-US"/>
              </w:rPr>
            </w:pPr>
            <w:r w:rsidRPr="00C33F7A">
              <w:rPr>
                <w:rFonts w:ascii="Arial" w:hAnsi="Arial" w:eastAsia="Arial Unicode MS" w:cs="David"/>
                <w:snapToGrid w:val="0"/>
                <w:color w:val="auto"/>
                <w:spacing w:val="0"/>
                <w:sz w:val="20"/>
                <w:szCs w:val="26"/>
                <w:rtl/>
                <w:lang w:eastAsia="en-US"/>
              </w:rPr>
              <w:t>הוספת סעיף 3ג</w:t>
            </w:r>
          </w:p>
        </w:tc>
        <w:tc>
          <w:tcPr>
            <w:tcW w:w="624" w:type="dxa"/>
            <w:hideMark/>
          </w:tcPr>
          <w:p w:rsidRPr="00C33F7A" w:rsidR="00623F52" w:rsidP="00D06234" w:rsidRDefault="00623F52" w14:paraId="266EE082" w14:textId="77777777">
            <w:pPr>
              <w:tabs>
                <w:tab w:val="left" w:pos="624"/>
                <w:tab w:val="left" w:pos="1247"/>
              </w:tabs>
              <w:autoSpaceDE/>
              <w:autoSpaceDN/>
              <w:adjustRightInd/>
              <w:snapToGrid w:val="0"/>
              <w:spacing w:before="0" w:line="360" w:lineRule="auto"/>
              <w:ind w:firstLine="0"/>
              <w:contextualSpacing/>
              <w:jc w:val="left"/>
              <w:textAlignment w:val="auto"/>
              <w:rPr>
                <w:rFonts w:ascii="Arial" w:hAnsi="Arial" w:eastAsia="Arial Unicode MS" w:cs="David"/>
                <w:snapToGrid w:val="0"/>
                <w:color w:val="auto"/>
                <w:spacing w:val="0"/>
                <w:sz w:val="20"/>
                <w:szCs w:val="26"/>
                <w:lang w:eastAsia="en-US"/>
              </w:rPr>
            </w:pPr>
            <w:r w:rsidRPr="00C33F7A">
              <w:rPr>
                <w:rFonts w:ascii="Arial" w:hAnsi="Arial" w:eastAsia="Arial Unicode MS" w:cs="David"/>
                <w:snapToGrid w:val="0"/>
                <w:color w:val="auto"/>
                <w:spacing w:val="0"/>
                <w:sz w:val="20"/>
                <w:szCs w:val="26"/>
                <w:rtl/>
                <w:lang w:eastAsia="en-US"/>
              </w:rPr>
              <w:t>1.</w:t>
            </w:r>
          </w:p>
        </w:tc>
        <w:tc>
          <w:tcPr>
            <w:tcW w:w="7143" w:type="dxa"/>
            <w:gridSpan w:val="3"/>
            <w:hideMark/>
          </w:tcPr>
          <w:p w:rsidRPr="00C33F7A" w:rsidR="00623F52" w:rsidP="00D06234" w:rsidRDefault="00623F52" w14:paraId="06A798F9" w14:textId="77777777">
            <w:pPr>
              <w:keepLines/>
              <w:tabs>
                <w:tab w:val="left" w:pos="624"/>
                <w:tab w:val="left" w:pos="1247"/>
              </w:tabs>
              <w:autoSpaceDE/>
              <w:autoSpaceDN/>
              <w:adjustRightInd/>
              <w:snapToGrid w:val="0"/>
              <w:spacing w:before="0" w:line="360" w:lineRule="auto"/>
              <w:ind w:firstLine="0"/>
              <w:contextualSpacing/>
              <w:textAlignment w:val="auto"/>
              <w:rPr>
                <w:rFonts w:ascii="Arial" w:hAnsi="Arial" w:eastAsia="Arial Unicode MS" w:cs="David"/>
                <w:snapToGrid w:val="0"/>
                <w:color w:val="auto"/>
                <w:spacing w:val="0"/>
                <w:sz w:val="20"/>
                <w:szCs w:val="26"/>
                <w:lang w:eastAsia="en-US"/>
              </w:rPr>
            </w:pPr>
            <w:bookmarkStart w:name="_Toc501008957" w:id="8"/>
            <w:bookmarkStart w:name="_Toc501008967" w:id="9"/>
            <w:r w:rsidRPr="00C33F7A">
              <w:rPr>
                <w:rFonts w:ascii="Arial" w:hAnsi="Arial" w:eastAsia="Arial Unicode MS" w:cs="David"/>
                <w:snapToGrid w:val="0"/>
                <w:color w:val="auto"/>
                <w:spacing w:val="0"/>
                <w:sz w:val="20"/>
                <w:szCs w:val="26"/>
                <w:rtl/>
                <w:lang w:eastAsia="en-US"/>
              </w:rPr>
              <w:t>בחוק זכויות הדייר בדיור הציבורי, התשנ"ח–1998</w:t>
            </w:r>
            <w:r w:rsidRPr="00C33F7A">
              <w:rPr>
                <w:rFonts w:ascii="David" w:hAnsi="David" w:eastAsia="Arial Unicode MS" w:cs="David"/>
                <w:snapToGrid w:val="0"/>
                <w:color w:val="auto"/>
                <w:spacing w:val="0"/>
                <w:sz w:val="26"/>
                <w:szCs w:val="18"/>
                <w:vertAlign w:val="superscript"/>
                <w:rtl/>
                <w:lang w:eastAsia="en-US"/>
              </w:rPr>
              <w:footnoteReference w:id="2"/>
            </w:r>
            <w:r w:rsidRPr="00C33F7A">
              <w:rPr>
                <w:rFonts w:ascii="Arial" w:hAnsi="Arial" w:eastAsia="Arial Unicode MS" w:cs="David"/>
                <w:snapToGrid w:val="0"/>
                <w:color w:val="auto"/>
                <w:spacing w:val="0"/>
                <w:sz w:val="20"/>
                <w:szCs w:val="26"/>
                <w:rtl/>
                <w:lang w:eastAsia="en-US"/>
              </w:rPr>
              <w:t>, אחרי סעיף 3ב יבוא:</w:t>
            </w:r>
            <w:bookmarkEnd w:id="8"/>
            <w:bookmarkEnd w:id="9"/>
          </w:p>
        </w:tc>
      </w:tr>
      <w:tr w:rsidRPr="00C33F7A" w:rsidR="00623F52" w:rsidTr="00D06234" w14:paraId="741BF8A2" w14:textId="77777777">
        <w:trPr>
          <w:cantSplit/>
        </w:trPr>
        <w:tc>
          <w:tcPr>
            <w:tcW w:w="1872" w:type="dxa"/>
          </w:tcPr>
          <w:p w:rsidRPr="00C33F7A" w:rsidR="00623F52" w:rsidP="00D06234" w:rsidRDefault="00623F52" w14:paraId="43B92739" w14:textId="77777777">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hAnsi="Arial" w:eastAsia="Arial Unicode MS" w:cs="David"/>
                <w:snapToGrid w:val="0"/>
                <w:color w:val="auto"/>
                <w:spacing w:val="0"/>
                <w:sz w:val="20"/>
                <w:szCs w:val="26"/>
                <w:lang w:eastAsia="en-US"/>
              </w:rPr>
            </w:pPr>
          </w:p>
        </w:tc>
        <w:tc>
          <w:tcPr>
            <w:tcW w:w="624" w:type="dxa"/>
          </w:tcPr>
          <w:p w:rsidRPr="00C33F7A" w:rsidR="00623F52" w:rsidP="00D06234" w:rsidRDefault="00623F52" w14:paraId="312290E5" w14:textId="77777777">
            <w:pPr>
              <w:tabs>
                <w:tab w:val="left" w:pos="624"/>
                <w:tab w:val="left" w:pos="1247"/>
              </w:tabs>
              <w:autoSpaceDE/>
              <w:autoSpaceDN/>
              <w:adjustRightInd/>
              <w:snapToGrid w:val="0"/>
              <w:spacing w:before="0" w:line="360" w:lineRule="auto"/>
              <w:ind w:firstLine="0"/>
              <w:contextualSpacing/>
              <w:jc w:val="left"/>
              <w:textAlignment w:val="auto"/>
              <w:rPr>
                <w:rFonts w:ascii="Arial" w:hAnsi="Arial" w:eastAsia="Arial Unicode MS" w:cs="David"/>
                <w:snapToGrid w:val="0"/>
                <w:color w:val="auto"/>
                <w:spacing w:val="0"/>
                <w:sz w:val="20"/>
                <w:szCs w:val="26"/>
                <w:lang w:eastAsia="en-US"/>
              </w:rPr>
            </w:pPr>
          </w:p>
        </w:tc>
        <w:tc>
          <w:tcPr>
            <w:tcW w:w="1871" w:type="dxa"/>
            <w:hideMark/>
          </w:tcPr>
          <w:p w:rsidRPr="00C33F7A" w:rsidR="00623F52" w:rsidP="00D06234" w:rsidRDefault="00623F52" w14:paraId="161D7D35" w14:textId="77777777">
            <w:pPr>
              <w:keepLines/>
              <w:tabs>
                <w:tab w:val="left" w:pos="624"/>
                <w:tab w:val="left" w:pos="1247"/>
              </w:tabs>
              <w:autoSpaceDE/>
              <w:autoSpaceDN/>
              <w:adjustRightInd/>
              <w:snapToGrid w:val="0"/>
              <w:spacing w:before="0" w:line="360" w:lineRule="auto"/>
              <w:ind w:firstLine="0"/>
              <w:contextualSpacing/>
              <w:jc w:val="left"/>
              <w:textAlignment w:val="auto"/>
              <w:rPr>
                <w:rFonts w:ascii="Arial" w:hAnsi="Arial" w:eastAsia="Arial Unicode MS" w:cs="David"/>
                <w:snapToGrid w:val="0"/>
                <w:color w:val="auto"/>
                <w:spacing w:val="0"/>
                <w:sz w:val="20"/>
                <w:szCs w:val="26"/>
                <w:lang w:eastAsia="en-US"/>
              </w:rPr>
            </w:pPr>
            <w:r w:rsidRPr="00C33F7A">
              <w:rPr>
                <w:rFonts w:ascii="Arial" w:hAnsi="Arial" w:eastAsia="Arial Unicode MS" w:cs="David"/>
                <w:snapToGrid w:val="0"/>
                <w:color w:val="auto"/>
                <w:spacing w:val="0"/>
                <w:sz w:val="20"/>
                <w:szCs w:val="26"/>
                <w:rtl/>
                <w:lang w:eastAsia="en-US"/>
              </w:rPr>
              <w:t>"אי שלילת זכאות למגורים בדירה ציבורית בשל תשלום מזונות</w:t>
            </w:r>
          </w:p>
        </w:tc>
        <w:tc>
          <w:tcPr>
            <w:tcW w:w="625" w:type="dxa"/>
            <w:hideMark/>
          </w:tcPr>
          <w:p w:rsidRPr="00C33F7A" w:rsidR="00623F52" w:rsidP="00D06234" w:rsidRDefault="00623F52" w14:paraId="04590FD5" w14:textId="77777777">
            <w:pPr>
              <w:keepLines/>
              <w:tabs>
                <w:tab w:val="left" w:pos="624"/>
                <w:tab w:val="left" w:pos="1247"/>
              </w:tabs>
              <w:autoSpaceDE/>
              <w:autoSpaceDN/>
              <w:adjustRightInd/>
              <w:snapToGrid w:val="0"/>
              <w:spacing w:before="0" w:line="360" w:lineRule="auto"/>
              <w:ind w:firstLine="0"/>
              <w:contextualSpacing/>
              <w:jc w:val="left"/>
              <w:textAlignment w:val="auto"/>
              <w:rPr>
                <w:rFonts w:ascii="Arial" w:hAnsi="Arial" w:eastAsia="Arial Unicode MS" w:cs="David"/>
                <w:snapToGrid w:val="0"/>
                <w:color w:val="auto"/>
                <w:spacing w:val="0"/>
                <w:sz w:val="20"/>
                <w:szCs w:val="26"/>
                <w:lang w:eastAsia="en-US"/>
              </w:rPr>
            </w:pPr>
            <w:r w:rsidRPr="00C33F7A">
              <w:rPr>
                <w:rFonts w:ascii="Arial" w:hAnsi="Arial" w:eastAsia="Arial Unicode MS" w:cs="David"/>
                <w:snapToGrid w:val="0"/>
                <w:color w:val="auto"/>
                <w:spacing w:val="0"/>
                <w:sz w:val="20"/>
                <w:szCs w:val="26"/>
                <w:rtl/>
                <w:lang w:eastAsia="en-US"/>
              </w:rPr>
              <w:t>3ג.</w:t>
            </w:r>
          </w:p>
        </w:tc>
        <w:tc>
          <w:tcPr>
            <w:tcW w:w="4647" w:type="dxa"/>
            <w:hideMark/>
          </w:tcPr>
          <w:p w:rsidRPr="00C33F7A" w:rsidR="00623F52" w:rsidP="00D06234" w:rsidRDefault="00623F52" w14:paraId="67C10CFB" w14:textId="77777777">
            <w:pPr>
              <w:keepLines/>
              <w:tabs>
                <w:tab w:val="left" w:pos="624"/>
                <w:tab w:val="left" w:pos="1247"/>
              </w:tabs>
              <w:autoSpaceDE/>
              <w:autoSpaceDN/>
              <w:adjustRightInd/>
              <w:snapToGrid w:val="0"/>
              <w:spacing w:before="0" w:line="360" w:lineRule="auto"/>
              <w:ind w:firstLine="0"/>
              <w:contextualSpacing/>
              <w:textAlignment w:val="auto"/>
              <w:rPr>
                <w:rFonts w:ascii="Arial" w:hAnsi="Arial" w:eastAsia="Arial Unicode MS" w:cs="David"/>
                <w:snapToGrid w:val="0"/>
                <w:color w:val="auto"/>
                <w:spacing w:val="0"/>
                <w:sz w:val="20"/>
                <w:szCs w:val="26"/>
                <w:lang w:eastAsia="en-US"/>
              </w:rPr>
            </w:pPr>
            <w:r w:rsidRPr="00C33F7A">
              <w:rPr>
                <w:rFonts w:ascii="Arial" w:hAnsi="Arial" w:eastAsia="Arial Unicode MS" w:cs="David"/>
                <w:snapToGrid w:val="0"/>
                <w:color w:val="auto"/>
                <w:spacing w:val="0"/>
                <w:sz w:val="20"/>
                <w:szCs w:val="26"/>
                <w:rtl/>
                <w:lang w:eastAsia="en-US"/>
              </w:rPr>
              <w:t>לא תיפגע זכות של יחיד למגורים בדירה ציבורית בשל זכאות לתשלו</w:t>
            </w:r>
            <w:r w:rsidRPr="00C33F7A">
              <w:rPr>
                <w:rFonts w:hint="cs" w:ascii="Arial" w:hAnsi="Arial" w:eastAsia="Arial Unicode MS" w:cs="David"/>
                <w:snapToGrid w:val="0"/>
                <w:color w:val="auto"/>
                <w:spacing w:val="0"/>
                <w:sz w:val="20"/>
                <w:szCs w:val="26"/>
                <w:rtl/>
                <w:lang w:eastAsia="en-US"/>
              </w:rPr>
              <w:t>ם</w:t>
            </w:r>
            <w:r w:rsidRPr="00C33F7A">
              <w:rPr>
                <w:rFonts w:ascii="Arial" w:hAnsi="Arial" w:eastAsia="Arial Unicode MS" w:cs="David"/>
                <w:snapToGrid w:val="0"/>
                <w:color w:val="auto"/>
                <w:spacing w:val="0"/>
                <w:sz w:val="20"/>
                <w:szCs w:val="26"/>
                <w:rtl/>
                <w:lang w:eastAsia="en-US"/>
              </w:rPr>
              <w:t xml:space="preserve"> מזונות כמשמעות</w:t>
            </w:r>
            <w:r w:rsidRPr="00C33F7A">
              <w:rPr>
                <w:rFonts w:hint="cs" w:ascii="Arial" w:hAnsi="Arial" w:eastAsia="Arial Unicode MS" w:cs="David"/>
                <w:snapToGrid w:val="0"/>
                <w:color w:val="auto"/>
                <w:spacing w:val="0"/>
                <w:sz w:val="20"/>
                <w:szCs w:val="26"/>
                <w:rtl/>
                <w:lang w:eastAsia="en-US"/>
              </w:rPr>
              <w:t>ו</w:t>
            </w:r>
            <w:r w:rsidRPr="00C33F7A">
              <w:rPr>
                <w:rFonts w:ascii="Arial" w:hAnsi="Arial" w:eastAsia="Arial Unicode MS" w:cs="David"/>
                <w:snapToGrid w:val="0"/>
                <w:color w:val="auto"/>
                <w:spacing w:val="0"/>
                <w:sz w:val="20"/>
                <w:szCs w:val="26"/>
                <w:rtl/>
                <w:lang w:eastAsia="en-US"/>
              </w:rPr>
              <w:t xml:space="preserve"> בחוק המזונות (הבטחת תשלום), התשל"ב</w:t>
            </w:r>
            <w:r w:rsidRPr="00C33F7A">
              <w:rPr>
                <w:rFonts w:hint="cs" w:ascii="Arial" w:hAnsi="Arial" w:eastAsia="Arial Unicode MS" w:cs="David"/>
                <w:snapToGrid w:val="0"/>
                <w:color w:val="auto"/>
                <w:spacing w:val="0"/>
                <w:sz w:val="20"/>
                <w:szCs w:val="26"/>
                <w:rtl/>
                <w:lang w:eastAsia="en-US"/>
              </w:rPr>
              <w:t>–1972</w:t>
            </w:r>
            <w:r w:rsidRPr="00C33F7A">
              <w:rPr>
                <w:rFonts w:ascii="David" w:hAnsi="David" w:eastAsia="Arial Unicode MS" w:cs="David"/>
                <w:snapToGrid w:val="0"/>
                <w:color w:val="auto"/>
                <w:spacing w:val="0"/>
                <w:sz w:val="26"/>
                <w:szCs w:val="26"/>
                <w:vertAlign w:val="superscript"/>
                <w:rtl/>
                <w:lang w:eastAsia="en-US"/>
              </w:rPr>
              <w:footnoteReference w:id="3"/>
            </w:r>
            <w:r w:rsidRPr="00C33F7A">
              <w:rPr>
                <w:rFonts w:ascii="Arial" w:hAnsi="Arial" w:eastAsia="Arial Unicode MS" w:cs="David"/>
                <w:snapToGrid w:val="0"/>
                <w:color w:val="auto"/>
                <w:spacing w:val="0"/>
                <w:sz w:val="20"/>
                <w:szCs w:val="26"/>
                <w:rtl/>
                <w:lang w:eastAsia="en-US"/>
              </w:rPr>
              <w:t>; לעניין זה, "יחיד" – כהגדרתו בחוק הבטחת הכנסה, התשמ"א–</w:t>
            </w:r>
            <w:r w:rsidRPr="00C33F7A">
              <w:rPr>
                <w:rFonts w:ascii="Arial" w:hAnsi="Arial" w:eastAsia="Arial Unicode MS" w:cs="David"/>
                <w:snapToGrid w:val="0"/>
                <w:color w:val="auto"/>
                <w:spacing w:val="0"/>
                <w:sz w:val="20"/>
                <w:szCs w:val="26"/>
                <w:rtl/>
                <w:lang w:eastAsia="en-US"/>
              </w:rPr>
              <w:softHyphen/>
              <w:t>1980</w:t>
            </w:r>
            <w:r w:rsidRPr="00C33F7A">
              <w:rPr>
                <w:rFonts w:ascii="David" w:hAnsi="David" w:eastAsia="Arial Unicode MS" w:cs="David"/>
                <w:snapToGrid w:val="0"/>
                <w:color w:val="auto"/>
                <w:spacing w:val="0"/>
                <w:sz w:val="26"/>
                <w:szCs w:val="26"/>
                <w:vertAlign w:val="superscript"/>
                <w:rtl/>
                <w:lang w:eastAsia="en-US"/>
              </w:rPr>
              <w:footnoteReference w:id="4"/>
            </w:r>
            <w:r w:rsidRPr="00C33F7A">
              <w:rPr>
                <w:rFonts w:ascii="Arial" w:hAnsi="Arial" w:eastAsia="Arial Unicode MS" w:cs="David"/>
                <w:snapToGrid w:val="0"/>
                <w:color w:val="auto"/>
                <w:spacing w:val="0"/>
                <w:sz w:val="20"/>
                <w:szCs w:val="26"/>
                <w:rtl/>
                <w:lang w:eastAsia="en-US"/>
              </w:rPr>
              <w:t>."</w:t>
            </w:r>
          </w:p>
        </w:tc>
      </w:tr>
    </w:tbl>
    <w:p w:rsidRPr="00C33F7A" w:rsidR="00623F52" w:rsidP="003904AE" w:rsidRDefault="00623F52" w14:paraId="701E5DED" w14:textId="77777777">
      <w:pPr>
        <w:pStyle w:val="HeadDivreiHesber"/>
        <w:rPr>
          <w:rtl/>
          <w:lang w:eastAsia="en-US"/>
        </w:rPr>
      </w:pPr>
      <w:r w:rsidRPr="00C33F7A">
        <w:rPr>
          <w:rtl/>
          <w:lang w:eastAsia="en-US"/>
        </w:rPr>
        <w:t>דברי הסבר</w:t>
      </w:r>
    </w:p>
    <w:p w:rsidRPr="00C33F7A" w:rsidR="00623F52" w:rsidP="00623F52" w:rsidRDefault="00623F52" w14:paraId="58064FB2" w14:textId="77777777">
      <w:pPr>
        <w:autoSpaceDE/>
        <w:autoSpaceDN/>
        <w:adjustRightInd/>
        <w:snapToGrid w:val="0"/>
        <w:spacing w:before="0" w:line="360" w:lineRule="auto"/>
        <w:contextualSpacing/>
        <w:textAlignment w:val="auto"/>
        <w:rPr>
          <w:rFonts w:ascii="Arial" w:hAnsi="Arial" w:eastAsia="Arial Unicode MS" w:cs="David"/>
          <w:snapToGrid w:val="0"/>
          <w:color w:val="auto"/>
          <w:spacing w:val="0"/>
          <w:sz w:val="20"/>
          <w:szCs w:val="26"/>
          <w:rtl/>
          <w:lang w:eastAsia="en-US"/>
        </w:rPr>
      </w:pPr>
      <w:r w:rsidRPr="00C33F7A">
        <w:rPr>
          <w:rFonts w:ascii="Arial" w:hAnsi="Arial" w:eastAsia="Arial Unicode MS" w:cs="David"/>
          <w:snapToGrid w:val="0"/>
          <w:color w:val="auto"/>
          <w:spacing w:val="0"/>
          <w:sz w:val="20"/>
          <w:szCs w:val="26"/>
          <w:rtl/>
          <w:lang w:eastAsia="en-US"/>
        </w:rPr>
        <w:t>כיום, אם יחידנית המקבלת</w:t>
      </w:r>
      <w:r w:rsidRPr="00C33F7A">
        <w:rPr>
          <w:rFonts w:hint="cs" w:ascii="Arial" w:hAnsi="Arial" w:eastAsia="Arial Unicode MS" w:cs="David"/>
          <w:snapToGrid w:val="0"/>
          <w:color w:val="auto"/>
          <w:spacing w:val="0"/>
          <w:sz w:val="20"/>
          <w:szCs w:val="26"/>
          <w:rtl/>
          <w:lang w:eastAsia="en-US"/>
        </w:rPr>
        <w:t xml:space="preserve"> קצבת</w:t>
      </w:r>
      <w:r w:rsidRPr="00C33F7A">
        <w:rPr>
          <w:rFonts w:ascii="Arial" w:hAnsi="Arial" w:eastAsia="Arial Unicode MS" w:cs="David"/>
          <w:snapToGrid w:val="0"/>
          <w:color w:val="auto"/>
          <w:spacing w:val="0"/>
          <w:sz w:val="20"/>
          <w:szCs w:val="26"/>
          <w:rtl/>
          <w:lang w:eastAsia="en-US"/>
        </w:rPr>
        <w:t xml:space="preserve"> הבטחת הכנסה או</w:t>
      </w:r>
      <w:r w:rsidRPr="00C33F7A">
        <w:rPr>
          <w:rFonts w:hint="cs" w:ascii="Arial" w:hAnsi="Arial" w:eastAsia="Arial Unicode MS" w:cs="David"/>
          <w:snapToGrid w:val="0"/>
          <w:color w:val="auto"/>
          <w:spacing w:val="0"/>
          <w:sz w:val="20"/>
          <w:szCs w:val="26"/>
          <w:rtl/>
          <w:lang w:eastAsia="en-US"/>
        </w:rPr>
        <w:t xml:space="preserve"> קצבת</w:t>
      </w:r>
      <w:r w:rsidRPr="00C33F7A">
        <w:rPr>
          <w:rFonts w:ascii="Arial" w:hAnsi="Arial" w:eastAsia="Arial Unicode MS" w:cs="David"/>
          <w:snapToGrid w:val="0"/>
          <w:color w:val="auto"/>
          <w:spacing w:val="0"/>
          <w:sz w:val="20"/>
          <w:szCs w:val="26"/>
          <w:rtl/>
          <w:lang w:eastAsia="en-US"/>
        </w:rPr>
        <w:t xml:space="preserve"> השלמת הכנסה זכאית לדירה בדיור הציבורי. לעומת זאת, אם יחידנית המקבלת תשלום מזונות מהמוסד לביטוח לאומי, לא זכאית לקבל </w:t>
      </w:r>
      <w:r w:rsidRPr="00C33F7A">
        <w:rPr>
          <w:rFonts w:hint="cs" w:ascii="Arial" w:hAnsi="Arial" w:eastAsia="Arial Unicode MS" w:cs="David"/>
          <w:snapToGrid w:val="0"/>
          <w:color w:val="auto"/>
          <w:spacing w:val="0"/>
          <w:sz w:val="20"/>
          <w:szCs w:val="26"/>
          <w:rtl/>
          <w:lang w:eastAsia="en-US"/>
        </w:rPr>
        <w:t xml:space="preserve">קצבאות </w:t>
      </w:r>
      <w:r w:rsidRPr="00C33F7A">
        <w:rPr>
          <w:rFonts w:ascii="Arial" w:hAnsi="Arial" w:eastAsia="Arial Unicode MS" w:cs="David"/>
          <w:snapToGrid w:val="0"/>
          <w:color w:val="auto"/>
          <w:spacing w:val="0"/>
          <w:sz w:val="20"/>
          <w:szCs w:val="26"/>
          <w:rtl/>
          <w:lang w:eastAsia="en-US"/>
        </w:rPr>
        <w:t xml:space="preserve">הבטחת הכנסה או השלמת הכנסה, ולכן אינה זכאית לדירה בדיור הציבורי. הבדל זה הוא שרירותי שכן מצבן הכלכלי של שתי המשפחות הללו הוא זהה. כך, יוצא שהמצב כיום מביא לחוסר צדק ולהפליה של נשים יחידניות המקבלות קצבת מזונות. מיצוי כושר ההשתכרות של נשים אלה אינו נבחן כלל, וזכאותן נפסלת על הסף. קבוצה זו של נשים היא אחת מהקבוצות המוחלשות ביותר בחברה הישראלית, ומכאן החשיבות המוגברת </w:t>
      </w:r>
      <w:r w:rsidRPr="00C33F7A">
        <w:rPr>
          <w:rFonts w:hint="cs" w:ascii="Arial" w:hAnsi="Arial" w:eastAsia="Arial Unicode MS" w:cs="David"/>
          <w:snapToGrid w:val="0"/>
          <w:color w:val="auto"/>
          <w:spacing w:val="0"/>
          <w:sz w:val="20"/>
          <w:szCs w:val="26"/>
          <w:rtl/>
          <w:lang w:eastAsia="en-US"/>
        </w:rPr>
        <w:t xml:space="preserve">של </w:t>
      </w:r>
      <w:r w:rsidRPr="00C33F7A">
        <w:rPr>
          <w:rFonts w:ascii="Arial" w:hAnsi="Arial" w:eastAsia="Arial Unicode MS" w:cs="David"/>
          <w:snapToGrid w:val="0"/>
          <w:color w:val="auto"/>
          <w:spacing w:val="0"/>
          <w:sz w:val="20"/>
          <w:szCs w:val="26"/>
          <w:rtl/>
          <w:lang w:eastAsia="en-US"/>
        </w:rPr>
        <w:t>תיקון המוצע.</w:t>
      </w:r>
    </w:p>
    <w:p w:rsidRPr="00C33F7A" w:rsidR="00623F52" w:rsidP="00623F52" w:rsidRDefault="00623F52" w14:paraId="052C5096" w14:textId="77777777">
      <w:pPr>
        <w:autoSpaceDE/>
        <w:autoSpaceDN/>
        <w:adjustRightInd/>
        <w:snapToGrid w:val="0"/>
        <w:spacing w:before="0" w:line="360" w:lineRule="auto"/>
        <w:contextualSpacing/>
        <w:textAlignment w:val="auto"/>
        <w:rPr>
          <w:rFonts w:ascii="Arial" w:hAnsi="Arial" w:eastAsia="Arial Unicode MS" w:cs="David"/>
          <w:snapToGrid w:val="0"/>
          <w:color w:val="auto"/>
          <w:spacing w:val="0"/>
          <w:sz w:val="20"/>
          <w:szCs w:val="26"/>
          <w:rtl/>
          <w:lang w:eastAsia="en-US"/>
        </w:rPr>
      </w:pPr>
      <w:r w:rsidRPr="00C33F7A">
        <w:rPr>
          <w:rFonts w:ascii="Arial" w:hAnsi="Arial" w:eastAsia="Arial Unicode MS" w:cs="David"/>
          <w:snapToGrid w:val="0"/>
          <w:color w:val="auto"/>
          <w:spacing w:val="0"/>
          <w:sz w:val="20"/>
          <w:szCs w:val="26"/>
          <w:rtl/>
          <w:lang w:eastAsia="en-US"/>
        </w:rPr>
        <w:t xml:space="preserve">מדיניות הקובעת שהאימהות היחידניות המקבלות </w:t>
      </w:r>
      <w:r w:rsidRPr="00C33F7A">
        <w:rPr>
          <w:rFonts w:hint="cs" w:ascii="Arial" w:hAnsi="Arial" w:eastAsia="Arial Unicode MS" w:cs="David"/>
          <w:snapToGrid w:val="0"/>
          <w:color w:val="auto"/>
          <w:spacing w:val="0"/>
          <w:sz w:val="20"/>
          <w:szCs w:val="26"/>
          <w:rtl/>
          <w:lang w:eastAsia="en-US"/>
        </w:rPr>
        <w:t xml:space="preserve">קצבת </w:t>
      </w:r>
      <w:r w:rsidRPr="00C33F7A">
        <w:rPr>
          <w:rFonts w:ascii="Arial" w:hAnsi="Arial" w:eastAsia="Arial Unicode MS" w:cs="David"/>
          <w:snapToGrid w:val="0"/>
          <w:color w:val="auto"/>
          <w:spacing w:val="0"/>
          <w:sz w:val="20"/>
          <w:szCs w:val="26"/>
          <w:rtl/>
          <w:lang w:eastAsia="en-US"/>
        </w:rPr>
        <w:t xml:space="preserve">הבטחת הכנסה זכאיות לדיור ציבורי, ובאותה העת מותירה את ציבור האימהות היחידניות המקבלות </w:t>
      </w:r>
      <w:r w:rsidRPr="00C33F7A">
        <w:rPr>
          <w:rFonts w:hint="cs" w:ascii="Arial" w:hAnsi="Arial" w:eastAsia="Arial Unicode MS" w:cs="David"/>
          <w:snapToGrid w:val="0"/>
          <w:color w:val="auto"/>
          <w:spacing w:val="0"/>
          <w:sz w:val="20"/>
          <w:szCs w:val="26"/>
          <w:rtl/>
          <w:lang w:eastAsia="en-US"/>
        </w:rPr>
        <w:t xml:space="preserve">תשלום </w:t>
      </w:r>
      <w:r w:rsidRPr="00C33F7A">
        <w:rPr>
          <w:rFonts w:ascii="Arial" w:hAnsi="Arial" w:eastAsia="Arial Unicode MS" w:cs="David"/>
          <w:snapToGrid w:val="0"/>
          <w:color w:val="auto"/>
          <w:spacing w:val="0"/>
          <w:sz w:val="20"/>
          <w:szCs w:val="26"/>
          <w:rtl/>
          <w:lang w:eastAsia="en-US"/>
        </w:rPr>
        <w:t xml:space="preserve">מזונות ללא זכאות דיור ציבורי, הינה מדיניות מפלה הדורשת תיקון. גם בהיעדר כוונה להפלות, התוצאה מדברת בעד עצמה ודורשת טיפול ראוי ושוויוני. הצעת חוק זו נועדה לשנות מצב עגום זה ולתקן את העוול שנגרם לאימהות </w:t>
      </w:r>
      <w:r w:rsidRPr="00C33F7A">
        <w:rPr>
          <w:rFonts w:ascii="Arial" w:hAnsi="Arial" w:eastAsia="Arial Unicode MS" w:cs="David"/>
          <w:snapToGrid w:val="0"/>
          <w:color w:val="auto"/>
          <w:spacing w:val="0"/>
          <w:sz w:val="20"/>
          <w:szCs w:val="26"/>
          <w:rtl/>
          <w:lang w:eastAsia="en-US"/>
        </w:rPr>
        <w:lastRenderedPageBreak/>
        <w:t>יחידניות המקבלות מהמוסד לביטוח לאומי תשלום מזונות.</w:t>
      </w:r>
    </w:p>
    <w:p w:rsidRPr="00C33F7A" w:rsidR="00623F52" w:rsidP="00623F52" w:rsidRDefault="00623F52" w14:paraId="101C33B5" w14:textId="77777777">
      <w:pPr>
        <w:autoSpaceDE/>
        <w:autoSpaceDN/>
        <w:adjustRightInd/>
        <w:snapToGrid w:val="0"/>
        <w:spacing w:before="0" w:line="360" w:lineRule="auto"/>
        <w:contextualSpacing/>
        <w:textAlignment w:val="auto"/>
        <w:rPr>
          <w:rFonts w:ascii="Arial" w:hAnsi="Arial" w:eastAsia="Arial Unicode MS" w:cs="David"/>
          <w:snapToGrid w:val="0"/>
          <w:color w:val="auto"/>
          <w:spacing w:val="0"/>
          <w:sz w:val="20"/>
          <w:szCs w:val="26"/>
          <w:rtl/>
          <w:lang w:eastAsia="en-US"/>
        </w:rPr>
      </w:pPr>
      <w:r w:rsidRPr="00C33F7A">
        <w:rPr>
          <w:rFonts w:ascii="Arial" w:hAnsi="Arial" w:eastAsia="Arial Unicode MS" w:cs="David"/>
          <w:snapToGrid w:val="0"/>
          <w:color w:val="auto"/>
          <w:spacing w:val="0"/>
          <w:sz w:val="20"/>
          <w:szCs w:val="26"/>
          <w:rtl/>
          <w:lang w:eastAsia="en-US"/>
        </w:rPr>
        <w:t>לפיכך, מוצע לקבוע כי לא תישלל זכאותן של אימהות יחידניות ומשפחותיהן לדיור ציבורי בשל זכאות לתשלום מזונות לפי חוק המזונות (הבטחת תשלום), התשל"ב–1972.</w:t>
      </w:r>
    </w:p>
    <w:p w:rsidRPr="00C87A2A" w:rsidR="00C87A2A" w:rsidP="00C87A2A" w:rsidRDefault="00C87A2A" w14:paraId="760ED574" w14:textId="77777777">
      <w:pPr>
        <w:pStyle w:val="Hesber"/>
        <w:rPr>
          <w:color w:val="auto"/>
          <w:rtl/>
          <w:lang w:eastAsia="en-US"/>
        </w:rPr>
      </w:pPr>
      <w:r w:rsidRPr="00C87A2A">
        <w:rPr>
          <w:color w:val="auto"/>
          <w:rtl/>
          <w:lang w:eastAsia="en-US"/>
        </w:rPr>
        <w:t>הצע</w:t>
      </w:r>
      <w:r w:rsidRPr="00C87A2A">
        <w:rPr>
          <w:rFonts w:hint="cs"/>
          <w:color w:val="auto"/>
          <w:rtl/>
          <w:lang w:eastAsia="en-US"/>
        </w:rPr>
        <w:t>ו</w:t>
      </w:r>
      <w:r w:rsidRPr="00C87A2A">
        <w:rPr>
          <w:color w:val="auto"/>
          <w:rtl/>
          <w:lang w:eastAsia="en-US"/>
        </w:rPr>
        <w:t>ת חוק דומ</w:t>
      </w:r>
      <w:r w:rsidRPr="00C87A2A">
        <w:rPr>
          <w:rFonts w:hint="cs"/>
          <w:color w:val="auto"/>
          <w:rtl/>
          <w:lang w:eastAsia="en-US"/>
        </w:rPr>
        <w:t>ות</w:t>
      </w:r>
      <w:r w:rsidRPr="00C87A2A">
        <w:rPr>
          <w:color w:val="auto"/>
          <w:rtl/>
          <w:lang w:eastAsia="en-US"/>
        </w:rPr>
        <w:t xml:space="preserve"> בעיקר</w:t>
      </w:r>
      <w:r w:rsidRPr="00C87A2A">
        <w:rPr>
          <w:rFonts w:hint="cs"/>
          <w:color w:val="auto"/>
          <w:rtl/>
          <w:lang w:eastAsia="en-US"/>
        </w:rPr>
        <w:t>ן</w:t>
      </w:r>
      <w:r w:rsidRPr="00C87A2A">
        <w:rPr>
          <w:color w:val="auto"/>
          <w:rtl/>
          <w:lang w:eastAsia="en-US"/>
        </w:rPr>
        <w:t xml:space="preserve"> הונח</w:t>
      </w:r>
      <w:r w:rsidRPr="00C87A2A">
        <w:rPr>
          <w:rFonts w:hint="cs"/>
          <w:color w:val="auto"/>
          <w:rtl/>
          <w:lang w:eastAsia="en-US"/>
        </w:rPr>
        <w:t>ו</w:t>
      </w:r>
      <w:r w:rsidRPr="00C87A2A">
        <w:rPr>
          <w:color w:val="auto"/>
          <w:rtl/>
          <w:lang w:eastAsia="en-US"/>
        </w:rPr>
        <w:t xml:space="preserve"> על שולחן הכנסת העשרים</w:t>
      </w:r>
      <w:r w:rsidRPr="00C87A2A">
        <w:rPr>
          <w:rFonts w:hint="cs"/>
          <w:color w:val="auto"/>
          <w:rtl/>
          <w:lang w:eastAsia="en-US"/>
        </w:rPr>
        <w:t>, על שולחן הכנסת העשרים ואחת ועל שולחן הכנסת העשרים ושלוש</w:t>
      </w:r>
      <w:r w:rsidRPr="00C87A2A">
        <w:rPr>
          <w:color w:val="auto"/>
          <w:rtl/>
          <w:lang w:eastAsia="en-US"/>
        </w:rPr>
        <w:t xml:space="preserve"> על ידי חברת הכנסת ק</w:t>
      </w:r>
      <w:r w:rsidRPr="00C87A2A">
        <w:rPr>
          <w:rFonts w:hint="cs"/>
          <w:color w:val="auto"/>
          <w:rtl/>
          <w:lang w:eastAsia="en-US"/>
        </w:rPr>
        <w:t>א</w:t>
      </w:r>
      <w:r w:rsidRPr="00C87A2A">
        <w:rPr>
          <w:color w:val="auto"/>
          <w:rtl/>
          <w:lang w:eastAsia="en-US"/>
        </w:rPr>
        <w:t>רין אלהרר (פ/4893/20</w:t>
      </w:r>
      <w:r w:rsidRPr="00C87A2A">
        <w:rPr>
          <w:rFonts w:hint="cs"/>
          <w:color w:val="auto"/>
          <w:rtl/>
          <w:lang w:eastAsia="en-US"/>
        </w:rPr>
        <w:t>; פ/109/21; פ/1356/23</w:t>
      </w:r>
      <w:r w:rsidRPr="00C87A2A">
        <w:rPr>
          <w:color w:val="auto"/>
          <w:rtl/>
          <w:lang w:eastAsia="en-US"/>
        </w:rPr>
        <w:t>).</w:t>
      </w:r>
    </w:p>
    <w:p w:rsidRPr="00C87A2A" w:rsidR="00C87A2A" w:rsidP="00C87A2A" w:rsidRDefault="00C87A2A" w14:paraId="321FC105" w14:textId="3B5EFC98">
      <w:pPr>
        <w:pStyle w:val="Hesber"/>
        <w:rPr>
          <w:color w:val="auto"/>
          <w:rtl/>
          <w:lang w:eastAsia="en-US"/>
        </w:rPr>
      </w:pPr>
      <w:r w:rsidRPr="00C87A2A">
        <w:rPr>
          <w:color w:val="auto"/>
          <w:rtl/>
          <w:lang w:eastAsia="en-US"/>
        </w:rPr>
        <w:t>הצע</w:t>
      </w:r>
      <w:r w:rsidRPr="00C87A2A">
        <w:rPr>
          <w:rFonts w:hint="cs"/>
          <w:color w:val="auto"/>
          <w:rtl/>
          <w:lang w:eastAsia="en-US"/>
        </w:rPr>
        <w:t>ו</w:t>
      </w:r>
      <w:r w:rsidRPr="00C87A2A">
        <w:rPr>
          <w:color w:val="auto"/>
          <w:rtl/>
          <w:lang w:eastAsia="en-US"/>
        </w:rPr>
        <w:t>ת חוק זה</w:t>
      </w:r>
      <w:r w:rsidRPr="00C87A2A">
        <w:rPr>
          <w:rFonts w:hint="cs"/>
          <w:color w:val="auto"/>
          <w:rtl/>
          <w:lang w:eastAsia="en-US"/>
        </w:rPr>
        <w:t>ות</w:t>
      </w:r>
      <w:r w:rsidRPr="00C87A2A">
        <w:rPr>
          <w:color w:val="auto"/>
          <w:rtl/>
          <w:lang w:eastAsia="en-US"/>
        </w:rPr>
        <w:t xml:space="preserve"> הונח</w:t>
      </w:r>
      <w:r w:rsidRPr="00C87A2A">
        <w:rPr>
          <w:rFonts w:hint="cs"/>
          <w:color w:val="auto"/>
          <w:rtl/>
          <w:lang w:eastAsia="en-US"/>
        </w:rPr>
        <w:t>ו</w:t>
      </w:r>
      <w:r w:rsidRPr="00C87A2A">
        <w:rPr>
          <w:color w:val="auto"/>
          <w:rtl/>
          <w:lang w:eastAsia="en-US"/>
        </w:rPr>
        <w:t xml:space="preserve"> על שולחן הכנסת העשרים על ידי חברת הכנסת אורלי לוי אבקסיס וקבוצת חברי הכנסת (פ/4861/20) ועל ידי חברת הכנסת עאידה תומא סלימאן וקבו</w:t>
      </w:r>
      <w:r w:rsidRPr="00C87A2A">
        <w:rPr>
          <w:rFonts w:hint="cs"/>
          <w:color w:val="auto"/>
          <w:rtl/>
          <w:lang w:eastAsia="en-US"/>
        </w:rPr>
        <w:t>צ</w:t>
      </w:r>
      <w:r w:rsidRPr="00C87A2A">
        <w:rPr>
          <w:color w:val="auto"/>
          <w:rtl/>
          <w:lang w:eastAsia="en-US"/>
        </w:rPr>
        <w:t xml:space="preserve">ת חברי </w:t>
      </w:r>
      <w:r w:rsidRPr="00C87A2A">
        <w:rPr>
          <w:rFonts w:hint="cs"/>
          <w:color w:val="auto"/>
          <w:rtl/>
          <w:lang w:eastAsia="en-US"/>
        </w:rPr>
        <w:t>ה</w:t>
      </w:r>
      <w:r w:rsidRPr="00C87A2A">
        <w:rPr>
          <w:color w:val="auto"/>
          <w:rtl/>
          <w:lang w:eastAsia="en-US"/>
        </w:rPr>
        <w:t>כנסת (פ/5132/20)</w:t>
      </w:r>
      <w:r w:rsidRPr="00C87A2A">
        <w:rPr>
          <w:rFonts w:hint="cs"/>
          <w:color w:val="auto"/>
          <w:rtl/>
          <w:lang w:eastAsia="en-US"/>
        </w:rPr>
        <w:t>, על שולחן הכנסת העשרים ושתיים על ידי חברת הכנסת אורלי לוי אבקסיס (פ/1363/22), על שולחן הכנסת העשרים ושלוש על ידי חברת הכנסת עאידה תומא סלימאן וקבוצת חברי הכנסת (פ/1359/23), ועל שולחן הכנסת העשרים וארבע על ידי חברת הכנסת עאידה תומא סלימאן וקבוצת חברי הכנסת (</w:t>
      </w:r>
      <w:r w:rsidRPr="00C87A2A">
        <w:rPr>
          <w:color w:val="auto"/>
          <w:rtl/>
          <w:lang w:eastAsia="en-US"/>
        </w:rPr>
        <w:t>פ/843/24</w:t>
      </w:r>
      <w:r w:rsidRPr="00C87A2A">
        <w:rPr>
          <w:rFonts w:hint="cs"/>
          <w:color w:val="auto"/>
          <w:rtl/>
          <w:lang w:eastAsia="en-US"/>
        </w:rPr>
        <w:t>)</w:t>
      </w:r>
      <w:r>
        <w:rPr>
          <w:rFonts w:hint="cs"/>
          <w:color w:val="auto"/>
          <w:rtl/>
          <w:lang w:eastAsia="en-US"/>
        </w:rPr>
        <w:t xml:space="preserve"> ועל ידי חברת הכנסת אמילי חיה מואטי (פ/2955/24).</w:t>
      </w:r>
    </w:p>
    <w:p w:rsidRPr="00C87A2A" w:rsidR="00C87A2A" w:rsidP="00C87A2A" w:rsidRDefault="00C87A2A" w14:paraId="073CBCA7" w14:textId="2D645358">
      <w:pPr>
        <w:pStyle w:val="Hesber"/>
        <w:rPr>
          <w:color w:val="auto"/>
          <w:rtl/>
          <w:lang w:eastAsia="en-US"/>
        </w:rPr>
      </w:pPr>
      <w:r w:rsidRPr="00C87A2A">
        <w:rPr>
          <w:color w:val="auto"/>
          <w:rtl/>
          <w:lang w:eastAsia="en-US"/>
        </w:rPr>
        <w:t>הצעת החוק זהה לפ/</w:t>
      </w:r>
      <w:r>
        <w:rPr>
          <w:rFonts w:hint="cs"/>
          <w:color w:val="auto"/>
          <w:rtl/>
          <w:lang w:eastAsia="en-US"/>
        </w:rPr>
        <w:t>2955/24</w:t>
      </w:r>
      <w:r w:rsidRPr="00C87A2A">
        <w:rPr>
          <w:color w:val="auto"/>
          <w:rtl/>
          <w:lang w:eastAsia="en-US"/>
        </w:rPr>
        <w:t xml:space="preserve"> ולפיכך לא נבדקה מחדש על ידי הלשכה המשפטית של הכנסת.</w:t>
      </w:r>
    </w:p>
    <w:p w:rsidR="00E13C27" w:rsidP="00E13C27" w:rsidRDefault="00E13C27" w14:paraId="7F6961CB" w14:textId="77777777">
      <w:pPr>
        <w:pStyle w:val="Hesber"/>
        <w:rPr>
          <w:rtl/>
        </w:rPr>
      </w:pPr>
    </w:p>
    <w:p w:rsidR="003904AE" w:rsidP="00E13C27" w:rsidRDefault="003904AE" w14:paraId="38EA6364" w14:textId="77777777">
      <w:pPr>
        <w:pStyle w:val="Hesber"/>
        <w:rPr>
          <w:rtl/>
        </w:rPr>
      </w:pPr>
    </w:p>
    <w:p w:rsidRPr="00623F52" w:rsidR="003904AE" w:rsidP="00E13C27" w:rsidRDefault="003904AE" w14:paraId="12F3CD9F" w14:textId="77777777">
      <w:pPr>
        <w:pStyle w:val="Hesber"/>
        <w:rPr>
          <w:rtl/>
        </w:rPr>
      </w:pPr>
      <w:bookmarkStart w:name="_GoBack" w:id="10"/>
      <w:bookmarkEnd w:id="10"/>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י"ח בכסלו התשפ"ג</w:t>
          <w:t xml:space="preserve"> (12.12.2022) </w:t>
        </w:r>
      </w:p>
    </w:p>
    <w:sectPr w:rsidRPr="00623F52" w:rsidR="003904AE"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0CFC9FCB"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3904AE">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133E6C9E" w14:textId="77777777" w:rsidR="00623F52" w:rsidRDefault="00623F52" w:rsidP="00623F52">
      <w:pPr>
        <w:pStyle w:val="a4"/>
        <w:rPr>
          <w:rtl/>
        </w:rPr>
      </w:pPr>
      <w:r>
        <w:rPr>
          <w:rStyle w:val="a5"/>
        </w:rPr>
        <w:footnoteRef/>
      </w:r>
      <w:r>
        <w:rPr>
          <w:rtl/>
        </w:rPr>
        <w:t xml:space="preserve"> </w:t>
      </w:r>
      <w:r>
        <w:rPr>
          <w:rFonts w:hint="cs"/>
          <w:rtl/>
        </w:rPr>
        <w:t>ס"ח התשנ"ח, עמ' 278.</w:t>
      </w:r>
    </w:p>
  </w:footnote>
  <w:footnote w:id="3">
    <w:p w14:paraId="5CD9A56A" w14:textId="77777777" w:rsidR="00623F52" w:rsidRDefault="00623F52" w:rsidP="00623F52">
      <w:pPr>
        <w:pStyle w:val="a4"/>
      </w:pPr>
      <w:r>
        <w:rPr>
          <w:rStyle w:val="a5"/>
        </w:rPr>
        <w:footnoteRef/>
      </w:r>
      <w:r>
        <w:rPr>
          <w:rtl/>
        </w:rPr>
        <w:t xml:space="preserve"> </w:t>
      </w:r>
      <w:r>
        <w:rPr>
          <w:rFonts w:hint="cs"/>
          <w:rtl/>
        </w:rPr>
        <w:t>ס"ח התשל"ב, עמ' 87.</w:t>
      </w:r>
    </w:p>
  </w:footnote>
  <w:footnote w:id="4">
    <w:p w14:paraId="24ABC04E" w14:textId="77777777" w:rsidR="00623F52" w:rsidRDefault="00623F52" w:rsidP="00623F52">
      <w:pPr>
        <w:pStyle w:val="a4"/>
        <w:rPr>
          <w:rtl/>
        </w:rPr>
      </w:pPr>
      <w:r>
        <w:rPr>
          <w:rStyle w:val="a5"/>
        </w:rPr>
        <w:footnoteRef/>
      </w:r>
      <w:r>
        <w:rPr>
          <w:rtl/>
        </w:rPr>
        <w:t xml:space="preserve"> </w:t>
      </w:r>
      <w:r>
        <w:rPr>
          <w:rFonts w:hint="cs"/>
          <w:rtl/>
        </w:rPr>
        <w:t>ס"ח התשמ"א, עמ'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04AE"/>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3F52"/>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87A2A"/>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74D5E4DA-5288-4B3F-AA3F-29DAA0B8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dcmitype/"/>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290d5b49-c690-4c6f-bbb9-1e50dab33ee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466F43DE-9E82-4054-8177-F60D35311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028E2D-86C6-43B2-9517-553100341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426</Words>
  <Characters>2131</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6</cp:revision>
  <cp:lastPrinted>2013-07-04T08:25:00Z</cp:lastPrinted>
  <dcterms:created xsi:type="dcterms:W3CDTF">2015-04-20T09:58:00Z</dcterms:created>
  <dcterms:modified xsi:type="dcterms:W3CDTF">2022-11-30T11:42:00Z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2197493</vt:r8>
  </property>
</Properties>
</file>